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Постановление Правительства Красноярского края от 27.06.2024 N 458-п</w:t>
              <w:br/>
              <w:t>"Об утверждении распределения субсидий бюджетам муниципальных образований Красноярского края на приобретение автономных дымовых пожарных извещателей отдельным категориям граждан в целях оснащения ими жилых помещений на 2024 год"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26.07.2024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ПРАВИТЕЛЬСТВО КРАСНОЯРСКОГО КРАЯ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27 июня 2024 г. N 458-п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ОБ УТВЕРЖДЕНИИ РАСПРЕДЕЛЕНИЯ СУБСИДИЙ БЮДЖЕТАМ МУНИЦИПАЛЬНЫХ</w:t>
      </w:r>
    </w:p>
    <w:p>
      <w:pPr>
        <w:pStyle w:val="ConsPlusTitle"/>
        <w:bidi w:val="0"/>
        <w:ind w:left="0" w:hanging="0"/>
        <w:jc w:val="center"/>
        <w:rPr/>
      </w:pPr>
      <w:r>
        <w:rPr/>
        <w:t>ОБРАЗОВАНИЙ КРАСНОЯРСКОГО КРАЯ НА ПРИОБРЕТЕНИЕ АВТОНОМНЫХ</w:t>
      </w:r>
    </w:p>
    <w:p>
      <w:pPr>
        <w:pStyle w:val="ConsPlusTitle"/>
        <w:bidi w:val="0"/>
        <w:ind w:left="0" w:hanging="0"/>
        <w:jc w:val="center"/>
        <w:rPr/>
      </w:pPr>
      <w:r>
        <w:rPr/>
        <w:t>ДЫМОВЫХ ПОЖАРНЫХ ИЗВЕЩАТЕЛЕЙ ОТДЕЛЬНЫМ КАТЕГОРИЯМ ГРАЖДАН</w:t>
      </w:r>
    </w:p>
    <w:p>
      <w:pPr>
        <w:pStyle w:val="ConsPlusTitle"/>
        <w:bidi w:val="0"/>
        <w:ind w:left="0" w:hanging="0"/>
        <w:jc w:val="center"/>
        <w:rPr/>
      </w:pPr>
      <w:r>
        <w:rPr/>
        <w:t>В ЦЕЛЯХ ОСНАЩЕНИЯ ИМИ ЖИЛЫХ ПОМЕЩЕНИЙ НА 2024 ГОД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В соответствии со статьей 103 Устава Красноярского края, Постановлением Правительства Красноярского края от 30.09.2013 N 515-п "Об утверждении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населения", Постановлением Правительства Красноярского края от 29.03.2023 N 233-п "Об утверждении Порядка предоставления и распределения субсидий бюджетам муниципальных образований Красноярского края на приобретение автономных дымовых пожарных извещателей отдельным категориям граждан в целях оснащения ими жилых помещений", учитывая протокол заседания комиссии по подготовке предложений о распределении субсидий бюджетам муниципальных образований Красноярского края на приобретение автономных дымовых пожарных извещателей отдельным категориям граждан в целях оснащения ими жилых помещений от 07.06.2024 N 1, постановляю: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1. Утвердить </w:t>
      </w:r>
      <w:hyperlink w:anchor="Par31" w:tgtFrame="РАСПРЕДЕЛЕНИЕ СУБСИДИЙ БЮДЖЕТАМ МУНИЦИПАЛЬНЫХ ОБРАЗОВАНИЙ">
        <w:r>
          <w:rPr>
            <w:color w:val="0000FF"/>
          </w:rPr>
          <w:t>распределение</w:t>
        </w:r>
      </w:hyperlink>
      <w:r>
        <w:rPr/>
        <w:t xml:space="preserve"> субсидий бюджетам муниципальных образований Красноярского края на приобретение автономных дымовых пожарных извещателей отдельным категориям граждан в целях оснащения ими жилых помещений на 2024 год согласно приложению.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Опубликовать Постановление на "Официальном интернет-портале правовой информации Красноярского края" (www.zakon.krskstate.ru).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Постановление вступает в силу в день, следующий за днем его официального опубликования.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Первый заместитель</w:t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Губернатора края -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</w:t>
      </w:r>
    </w:p>
    <w:p>
      <w:pPr>
        <w:pStyle w:val="ConsPlusNormal"/>
        <w:bidi w:val="0"/>
        <w:ind w:left="0" w:hanging="0"/>
        <w:jc w:val="right"/>
        <w:rPr/>
      </w:pPr>
      <w:r>
        <w:rPr/>
        <w:t>Правительства края</w:t>
      </w:r>
    </w:p>
    <w:p>
      <w:pPr>
        <w:pStyle w:val="ConsPlusNormal"/>
        <w:bidi w:val="0"/>
        <w:ind w:left="0" w:hanging="0"/>
        <w:jc w:val="right"/>
        <w:rPr/>
      </w:pPr>
      <w:r>
        <w:rPr/>
        <w:t>С.В.ВЕРЕЩАГИН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left="0" w:hanging="0"/>
        <w:jc w:val="right"/>
        <w:rPr/>
      </w:pPr>
      <w:r>
        <w:rPr/>
        <w:t>Правительства Красноярского края</w:t>
      </w:r>
    </w:p>
    <w:p>
      <w:pPr>
        <w:pStyle w:val="ConsPlusNormal"/>
        <w:bidi w:val="0"/>
        <w:ind w:left="0" w:hanging="0"/>
        <w:jc w:val="right"/>
        <w:rPr/>
      </w:pPr>
      <w:r>
        <w:rPr/>
        <w:t>от 27 июня 2024 г. N 458-п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1"/>
      <w:bookmarkEnd w:id="0"/>
      <w:r>
        <w:rPr/>
        <w:t>РАСПРЕДЕЛЕНИЕ СУБСИДИЙ БЮДЖЕТАМ МУНИЦИПАЛЬНЫХ ОБРАЗОВАНИЙ</w:t>
      </w:r>
    </w:p>
    <w:p>
      <w:pPr>
        <w:pStyle w:val="ConsPlusTitle"/>
        <w:bidi w:val="0"/>
        <w:ind w:left="0" w:hanging="0"/>
        <w:jc w:val="center"/>
        <w:rPr/>
      </w:pPr>
      <w:r>
        <w:rPr/>
        <w:t>КРАСНОЯРСКОГО КРАЯ НА ПРИОБРЕТЕНИЕ АВТОНОМНЫХ ДЫМОВЫХ</w:t>
      </w:r>
    </w:p>
    <w:p>
      <w:pPr>
        <w:pStyle w:val="ConsPlusTitle"/>
        <w:bidi w:val="0"/>
        <w:ind w:left="0" w:hanging="0"/>
        <w:jc w:val="center"/>
        <w:rPr/>
      </w:pPr>
      <w:r>
        <w:rPr/>
        <w:t>ПОЖАРНЫХ ИЗВЕЩАТЕЛЕЙ ОТДЕЛЬНЫМ КАТЕГОРИЯМ ГРАЖДАН В ЦЕЛЯХ</w:t>
      </w:r>
    </w:p>
    <w:p>
      <w:pPr>
        <w:pStyle w:val="ConsPlusTitle"/>
        <w:bidi w:val="0"/>
        <w:ind w:left="0" w:hanging="0"/>
        <w:jc w:val="center"/>
        <w:rPr/>
      </w:pPr>
      <w:r>
        <w:rPr/>
        <w:t>ОСНАЩЕНИЯ ИМИ ЖИЛЫХ ПОМЕЩЕНИЙ НА 2024 ГОД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(рублей)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907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6577"/>
        <w:gridCol w:w="2041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муниципального образования Красноярского края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Объем субсидии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Абанский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356000,00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Ачинский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200700,17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Боготольский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39930,83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Богучанский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107966,90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Большемуртинский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108670,37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Большеулуйский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93707,48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Боготол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57202,52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Бородино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48991,00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Дивногорск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49847,10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Енисейск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149189,66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Канск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6593,40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Лесосибирск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571440,00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Минусинск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316652,03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Назарово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51040,00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город Шарыпово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107774,00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Емельяновский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361354,00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Енисейский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280271,26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ЗАТО город Железногорск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42562,87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19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ЗАТО поселок Солнечный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118300,00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Идринский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265284,45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Иланский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304934,97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Ирбейский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323010,67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401922,00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Каратузский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73846,00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Кежемский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218001,15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Козульский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76423,50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Краснотуранский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69841,73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16645,94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29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Мотыгинский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283054,56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Назаровский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119580,00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Нижнеингашский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99120,00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Партизанский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99700,84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Пировский муниципальный округ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264530,21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Рыбинский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178508,39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Саянский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60281,00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Сухобузимский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91935,09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Тасеевский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82423,81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Уярский район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346257,72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39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Шарыповский муниципальный округ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198969,63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Итого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6642465,25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sectPr>
      <w:headerReference w:type="default" r:id="rId5"/>
      <w:footerReference w:type="default" r:id="rId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Красноярского края от 27.06.2024 N 458-п</w:t>
            <w:br/>
            <w:t>"Об утверждении распределения субсидий бюджетам мун...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26.07.2024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10</Pages>
  <Words>488</Words>
  <Characters>3511</Characters>
  <CharactersWithSpaces>3847</CharactersWithSpaces>
  <Paragraphs>159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2024-07-26T10:56:00Z</dcterms:created>
  <dc:creator/>
  <dc:description/>
  <dc:language>ru-RU</dc:language>
  <cp:lastModifiedBy/>
  <cp:revision>0</cp:revision>
  <dc:subject/>
  <dc:title>Постановление Правительства Красноярского края от 27.06.2024 N 458-п"Об утверждении распределения субсидий бюджетам муниципальных образований Красноярского края на приобретение автономных дымовых пожарных извещателей отдельным категориям граждан в целях оснащения ими жилых помещений на 2024 год"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